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C05" w:rsidRDefault="007C7C69">
      <w:pPr>
        <w:rPr>
          <w:b/>
          <w:sz w:val="28"/>
          <w:szCs w:val="28"/>
        </w:rPr>
      </w:pPr>
      <w:r>
        <w:rPr>
          <w:b/>
          <w:sz w:val="28"/>
          <w:szCs w:val="28"/>
        </w:rPr>
        <w:t>STRAIT STRANGLES OUR ECONOMY (MERCURY 25/5/14)</w:t>
      </w:r>
    </w:p>
    <w:p w:rsidR="004F5C05" w:rsidRDefault="00790732">
      <w:pPr>
        <w:rPr>
          <w:b/>
          <w:sz w:val="28"/>
          <w:szCs w:val="28"/>
        </w:rPr>
      </w:pPr>
      <w:r>
        <w:rPr>
          <w:b/>
          <w:sz w:val="28"/>
          <w:szCs w:val="28"/>
        </w:rPr>
        <w:t>Jan Davis CEO of the Tasmanian Farmers and Graziers Association has voiced concerns (Mercury 6</w:t>
      </w:r>
      <w:r w:rsidR="00134D41">
        <w:rPr>
          <w:b/>
          <w:sz w:val="28"/>
          <w:szCs w:val="28"/>
        </w:rPr>
        <w:t>/5/14)</w:t>
      </w:r>
      <w:r>
        <w:rPr>
          <w:b/>
          <w:sz w:val="28"/>
          <w:szCs w:val="28"/>
        </w:rPr>
        <w:t xml:space="preserve"> that privatisation of the Port of Melbourne would have</w:t>
      </w:r>
      <w:r w:rsidR="00836F7B">
        <w:rPr>
          <w:b/>
          <w:sz w:val="28"/>
          <w:szCs w:val="28"/>
        </w:rPr>
        <w:t xml:space="preserve"> an </w:t>
      </w:r>
      <w:r>
        <w:rPr>
          <w:b/>
          <w:sz w:val="28"/>
          <w:szCs w:val="28"/>
        </w:rPr>
        <w:t>adverse impact on rural producers with 30% of total freight crossing Bass Strait.</w:t>
      </w:r>
      <w:r w:rsidR="00134D41">
        <w:rPr>
          <w:b/>
          <w:sz w:val="28"/>
          <w:szCs w:val="28"/>
        </w:rPr>
        <w:t xml:space="preserve"> </w:t>
      </w:r>
      <w:r>
        <w:rPr>
          <w:b/>
          <w:sz w:val="28"/>
          <w:szCs w:val="28"/>
        </w:rPr>
        <w:t xml:space="preserve">That result could add </w:t>
      </w:r>
      <w:r w:rsidR="00134D41">
        <w:rPr>
          <w:b/>
          <w:sz w:val="28"/>
          <w:szCs w:val="28"/>
        </w:rPr>
        <w:t xml:space="preserve">freight </w:t>
      </w:r>
      <w:r>
        <w:rPr>
          <w:b/>
          <w:sz w:val="28"/>
          <w:szCs w:val="28"/>
        </w:rPr>
        <w:t>costs to</w:t>
      </w:r>
      <w:r w:rsidR="00134D41">
        <w:rPr>
          <w:b/>
          <w:sz w:val="28"/>
          <w:szCs w:val="28"/>
        </w:rPr>
        <w:t xml:space="preserve"> that imposed by</w:t>
      </w:r>
      <w:r>
        <w:rPr>
          <w:b/>
          <w:sz w:val="28"/>
          <w:szCs w:val="28"/>
        </w:rPr>
        <w:t xml:space="preserve"> the existing Port of Melbourne licence </w:t>
      </w:r>
      <w:proofErr w:type="gramStart"/>
      <w:r>
        <w:rPr>
          <w:b/>
          <w:sz w:val="28"/>
          <w:szCs w:val="28"/>
        </w:rPr>
        <w:t>fee(</w:t>
      </w:r>
      <w:proofErr w:type="gramEnd"/>
      <w:r>
        <w:rPr>
          <w:b/>
          <w:sz w:val="28"/>
          <w:szCs w:val="28"/>
        </w:rPr>
        <w:t>PLF)</w:t>
      </w:r>
    </w:p>
    <w:p w:rsidR="002D047A" w:rsidRDefault="00D2700C" w:rsidP="00D2700C">
      <w:pPr>
        <w:rPr>
          <w:b/>
          <w:sz w:val="28"/>
          <w:szCs w:val="28"/>
        </w:rPr>
      </w:pPr>
      <w:r>
        <w:rPr>
          <w:b/>
          <w:sz w:val="28"/>
          <w:szCs w:val="28"/>
        </w:rPr>
        <w:t xml:space="preserve">Since the ending of the direct export shipping service from Bell Bay in April </w:t>
      </w:r>
      <w:proofErr w:type="gramStart"/>
      <w:r>
        <w:rPr>
          <w:b/>
          <w:sz w:val="28"/>
          <w:szCs w:val="28"/>
        </w:rPr>
        <w:t>2011  Tasmanian</w:t>
      </w:r>
      <w:proofErr w:type="gramEnd"/>
      <w:r w:rsidR="00F62D5E">
        <w:rPr>
          <w:b/>
          <w:sz w:val="28"/>
          <w:szCs w:val="28"/>
        </w:rPr>
        <w:t xml:space="preserve"> export</w:t>
      </w:r>
      <w:r>
        <w:rPr>
          <w:b/>
          <w:sz w:val="28"/>
          <w:szCs w:val="28"/>
        </w:rPr>
        <w:t xml:space="preserve"> shippers have </w:t>
      </w:r>
      <w:r w:rsidR="004A3A66">
        <w:rPr>
          <w:b/>
          <w:sz w:val="28"/>
          <w:szCs w:val="28"/>
        </w:rPr>
        <w:t>experienced a doubling of costs</w:t>
      </w:r>
      <w:r w:rsidR="002D047A">
        <w:rPr>
          <w:b/>
          <w:sz w:val="28"/>
          <w:szCs w:val="28"/>
        </w:rPr>
        <w:t xml:space="preserve"> </w:t>
      </w:r>
      <w:r>
        <w:rPr>
          <w:b/>
          <w:sz w:val="28"/>
          <w:szCs w:val="28"/>
        </w:rPr>
        <w:t xml:space="preserve">as </w:t>
      </w:r>
      <w:r w:rsidR="005E6BCC">
        <w:rPr>
          <w:b/>
          <w:sz w:val="28"/>
          <w:szCs w:val="28"/>
        </w:rPr>
        <w:t xml:space="preserve">they have to </w:t>
      </w:r>
      <w:r>
        <w:rPr>
          <w:b/>
          <w:sz w:val="28"/>
          <w:szCs w:val="28"/>
        </w:rPr>
        <w:t xml:space="preserve">pay for goods through </w:t>
      </w:r>
      <w:r w:rsidR="002D047A">
        <w:rPr>
          <w:b/>
          <w:sz w:val="28"/>
          <w:szCs w:val="28"/>
        </w:rPr>
        <w:t>M</w:t>
      </w:r>
      <w:r>
        <w:rPr>
          <w:b/>
          <w:sz w:val="28"/>
          <w:szCs w:val="28"/>
        </w:rPr>
        <w:t>elbo</w:t>
      </w:r>
      <w:r w:rsidR="002D047A">
        <w:rPr>
          <w:b/>
          <w:sz w:val="28"/>
          <w:szCs w:val="28"/>
        </w:rPr>
        <w:t>urne before being shipped</w:t>
      </w:r>
      <w:r>
        <w:rPr>
          <w:b/>
          <w:sz w:val="28"/>
          <w:szCs w:val="28"/>
        </w:rPr>
        <w:t xml:space="preserve"> overseas.</w:t>
      </w:r>
      <w:r w:rsidR="002D047A">
        <w:rPr>
          <w:b/>
          <w:sz w:val="28"/>
          <w:szCs w:val="28"/>
        </w:rPr>
        <w:t xml:space="preserve"> </w:t>
      </w:r>
      <w:r>
        <w:rPr>
          <w:b/>
          <w:sz w:val="28"/>
          <w:szCs w:val="28"/>
        </w:rPr>
        <w:t>T</w:t>
      </w:r>
      <w:r w:rsidR="002D047A">
        <w:rPr>
          <w:b/>
          <w:sz w:val="28"/>
          <w:szCs w:val="28"/>
        </w:rPr>
        <w:t>h</w:t>
      </w:r>
      <w:r>
        <w:rPr>
          <w:b/>
          <w:sz w:val="28"/>
          <w:szCs w:val="28"/>
        </w:rPr>
        <w:t xml:space="preserve">ese cost escalations have been compounded by </w:t>
      </w:r>
      <w:r w:rsidR="002D047A">
        <w:rPr>
          <w:b/>
          <w:sz w:val="28"/>
          <w:szCs w:val="28"/>
        </w:rPr>
        <w:t>T</w:t>
      </w:r>
      <w:r>
        <w:rPr>
          <w:b/>
          <w:sz w:val="28"/>
          <w:szCs w:val="28"/>
        </w:rPr>
        <w:t>asmanian exporters not being entitled</w:t>
      </w:r>
      <w:r w:rsidR="005E6BCC">
        <w:rPr>
          <w:b/>
          <w:sz w:val="28"/>
          <w:szCs w:val="28"/>
        </w:rPr>
        <w:t xml:space="preserve"> under the TFES</w:t>
      </w:r>
      <w:r>
        <w:rPr>
          <w:b/>
          <w:sz w:val="28"/>
          <w:szCs w:val="28"/>
        </w:rPr>
        <w:t xml:space="preserve"> to the $500</w:t>
      </w:r>
      <w:r w:rsidR="00E81EAA">
        <w:rPr>
          <w:b/>
          <w:sz w:val="28"/>
          <w:szCs w:val="28"/>
        </w:rPr>
        <w:t xml:space="preserve"> to ship to Melbourne</w:t>
      </w:r>
      <w:r w:rsidR="002D047A">
        <w:rPr>
          <w:b/>
          <w:sz w:val="28"/>
          <w:szCs w:val="28"/>
        </w:rPr>
        <w:t>.</w:t>
      </w:r>
    </w:p>
    <w:p w:rsidR="004F5C05" w:rsidRDefault="00E81EAA" w:rsidP="00D2700C">
      <w:pPr>
        <w:rPr>
          <w:b/>
          <w:sz w:val="28"/>
          <w:szCs w:val="28"/>
        </w:rPr>
      </w:pPr>
      <w:r>
        <w:rPr>
          <w:b/>
          <w:sz w:val="28"/>
          <w:szCs w:val="28"/>
        </w:rPr>
        <w:t>By contrast a Victorian operator can purchase the same product, ship it to Victoria,</w:t>
      </w:r>
      <w:r w:rsidR="002D047A">
        <w:rPr>
          <w:b/>
          <w:sz w:val="28"/>
          <w:szCs w:val="28"/>
        </w:rPr>
        <w:t xml:space="preserve"> </w:t>
      </w:r>
      <w:r>
        <w:rPr>
          <w:b/>
          <w:sz w:val="28"/>
          <w:szCs w:val="28"/>
        </w:rPr>
        <w:t>follow the same process, export overseas and claim an advantage over Tasmanian firms</w:t>
      </w:r>
      <w:r w:rsidR="002D047A">
        <w:rPr>
          <w:b/>
          <w:sz w:val="28"/>
          <w:szCs w:val="28"/>
        </w:rPr>
        <w:t>.</w:t>
      </w:r>
    </w:p>
    <w:p w:rsidR="00E81EAA" w:rsidRPr="00E81EAA" w:rsidRDefault="00790732" w:rsidP="00D2700C">
      <w:pPr>
        <w:rPr>
          <w:b/>
          <w:sz w:val="28"/>
          <w:szCs w:val="28"/>
        </w:rPr>
      </w:pPr>
      <w:r>
        <w:rPr>
          <w:b/>
          <w:sz w:val="28"/>
          <w:szCs w:val="28"/>
        </w:rPr>
        <w:t>The (PLF</w:t>
      </w:r>
      <w:proofErr w:type="gramStart"/>
      <w:r>
        <w:rPr>
          <w:b/>
          <w:sz w:val="28"/>
          <w:szCs w:val="28"/>
        </w:rPr>
        <w:t>)</w:t>
      </w:r>
      <w:r w:rsidR="002D047A">
        <w:rPr>
          <w:b/>
          <w:sz w:val="28"/>
          <w:szCs w:val="28"/>
        </w:rPr>
        <w:t>is</w:t>
      </w:r>
      <w:proofErr w:type="gramEnd"/>
      <w:r w:rsidR="002D047A">
        <w:rPr>
          <w:b/>
          <w:sz w:val="28"/>
          <w:szCs w:val="28"/>
        </w:rPr>
        <w:t xml:space="preserve"> estimated by</w:t>
      </w:r>
      <w:r w:rsidR="00FE2393">
        <w:rPr>
          <w:b/>
          <w:sz w:val="28"/>
          <w:szCs w:val="28"/>
        </w:rPr>
        <w:t xml:space="preserve"> the</w:t>
      </w:r>
      <w:r w:rsidR="002D047A">
        <w:rPr>
          <w:b/>
          <w:sz w:val="28"/>
          <w:szCs w:val="28"/>
        </w:rPr>
        <w:t xml:space="preserve"> D</w:t>
      </w:r>
      <w:r w:rsidR="00E12902">
        <w:rPr>
          <w:b/>
          <w:sz w:val="28"/>
          <w:szCs w:val="28"/>
        </w:rPr>
        <w:t xml:space="preserve">epartment of </w:t>
      </w:r>
      <w:r w:rsidR="002D047A">
        <w:rPr>
          <w:b/>
          <w:sz w:val="28"/>
          <w:szCs w:val="28"/>
        </w:rPr>
        <w:t>I</w:t>
      </w:r>
      <w:r w:rsidR="00E12902">
        <w:rPr>
          <w:b/>
          <w:sz w:val="28"/>
          <w:szCs w:val="28"/>
        </w:rPr>
        <w:t>nfrastru</w:t>
      </w:r>
      <w:r w:rsidR="00F62D5E">
        <w:rPr>
          <w:b/>
          <w:sz w:val="28"/>
          <w:szCs w:val="28"/>
        </w:rPr>
        <w:t>c</w:t>
      </w:r>
      <w:r w:rsidR="00E12902">
        <w:rPr>
          <w:b/>
          <w:sz w:val="28"/>
          <w:szCs w:val="28"/>
        </w:rPr>
        <w:t>ture</w:t>
      </w:r>
      <w:r w:rsidR="00F62D5E">
        <w:rPr>
          <w:b/>
          <w:sz w:val="28"/>
          <w:szCs w:val="28"/>
        </w:rPr>
        <w:t>,</w:t>
      </w:r>
      <w:r w:rsidR="00E12902">
        <w:rPr>
          <w:b/>
          <w:sz w:val="28"/>
          <w:szCs w:val="28"/>
        </w:rPr>
        <w:t xml:space="preserve"> </w:t>
      </w:r>
      <w:r w:rsidR="002D047A">
        <w:rPr>
          <w:b/>
          <w:sz w:val="28"/>
          <w:szCs w:val="28"/>
        </w:rPr>
        <w:t>E</w:t>
      </w:r>
      <w:r w:rsidR="00E12902">
        <w:rPr>
          <w:b/>
          <w:sz w:val="28"/>
          <w:szCs w:val="28"/>
        </w:rPr>
        <w:t xml:space="preserve">nergy and </w:t>
      </w:r>
      <w:r w:rsidR="002D047A">
        <w:rPr>
          <w:b/>
          <w:sz w:val="28"/>
          <w:szCs w:val="28"/>
        </w:rPr>
        <w:t>R</w:t>
      </w:r>
      <w:r w:rsidR="00E12902">
        <w:rPr>
          <w:b/>
          <w:sz w:val="28"/>
          <w:szCs w:val="28"/>
        </w:rPr>
        <w:t>esources</w:t>
      </w:r>
      <w:r w:rsidR="002D047A">
        <w:rPr>
          <w:b/>
          <w:sz w:val="28"/>
          <w:szCs w:val="28"/>
        </w:rPr>
        <w:t xml:space="preserve"> to cost Tasmanian exporters $13</w:t>
      </w:r>
      <w:r w:rsidR="00E12902">
        <w:rPr>
          <w:b/>
          <w:sz w:val="28"/>
          <w:szCs w:val="28"/>
        </w:rPr>
        <w:t xml:space="preserve"> </w:t>
      </w:r>
      <w:r w:rsidR="002D047A">
        <w:rPr>
          <w:b/>
          <w:sz w:val="28"/>
          <w:szCs w:val="28"/>
        </w:rPr>
        <w:t>m</w:t>
      </w:r>
      <w:r w:rsidR="00E12902">
        <w:rPr>
          <w:b/>
          <w:sz w:val="28"/>
          <w:szCs w:val="28"/>
        </w:rPr>
        <w:t>illion</w:t>
      </w:r>
      <w:r w:rsidR="002D047A">
        <w:rPr>
          <w:b/>
          <w:sz w:val="28"/>
          <w:szCs w:val="28"/>
        </w:rPr>
        <w:t xml:space="preserve"> a year.</w:t>
      </w:r>
    </w:p>
    <w:p w:rsidR="007D2A38" w:rsidRDefault="007D2A38">
      <w:pPr>
        <w:rPr>
          <w:b/>
          <w:sz w:val="28"/>
          <w:szCs w:val="28"/>
        </w:rPr>
      </w:pPr>
      <w:r>
        <w:rPr>
          <w:b/>
          <w:sz w:val="28"/>
          <w:szCs w:val="28"/>
        </w:rPr>
        <w:t>There are two possible a</w:t>
      </w:r>
      <w:r w:rsidR="000B32A6">
        <w:rPr>
          <w:b/>
          <w:sz w:val="28"/>
          <w:szCs w:val="28"/>
        </w:rPr>
        <w:t>venues to challenging the PLF. Firstly,</w:t>
      </w:r>
      <w:r w:rsidR="005B01AC">
        <w:rPr>
          <w:b/>
          <w:sz w:val="28"/>
          <w:szCs w:val="28"/>
        </w:rPr>
        <w:t xml:space="preserve"> </w:t>
      </w:r>
      <w:r w:rsidR="000B32A6">
        <w:rPr>
          <w:b/>
          <w:sz w:val="28"/>
          <w:szCs w:val="28"/>
        </w:rPr>
        <w:t>t</w:t>
      </w:r>
      <w:r>
        <w:rPr>
          <w:b/>
          <w:sz w:val="28"/>
          <w:szCs w:val="28"/>
        </w:rPr>
        <w:t>he Transport General Oversight Branch (TPGO) gives advice to the Australian Competition and Consumer Commission assisting with regulating third party access to essential infrastructure services under the National Access Regime and undertakes certain price oversight functions.</w:t>
      </w:r>
    </w:p>
    <w:p w:rsidR="007D2A38" w:rsidRDefault="007D2A38">
      <w:pPr>
        <w:rPr>
          <w:b/>
          <w:sz w:val="28"/>
          <w:szCs w:val="28"/>
        </w:rPr>
      </w:pPr>
      <w:r>
        <w:rPr>
          <w:b/>
          <w:sz w:val="28"/>
          <w:szCs w:val="28"/>
        </w:rPr>
        <w:t>One of TGPO’s main roles is to advise on the regulation of transport and general infrastructure access in industries with infrastructure or supply chain bottlenecks or limited competition. This role includes the TGPO assessing proposed access undertakings and arbitrating access disputes in industries such as freigh</w:t>
      </w:r>
      <w:r w:rsidR="00EC3FB0">
        <w:rPr>
          <w:b/>
          <w:sz w:val="28"/>
          <w:szCs w:val="28"/>
        </w:rPr>
        <w:t>t rail and port</w:t>
      </w:r>
      <w:r>
        <w:rPr>
          <w:b/>
          <w:sz w:val="28"/>
          <w:szCs w:val="28"/>
        </w:rPr>
        <w:t>s</w:t>
      </w:r>
      <w:r w:rsidR="002936BB">
        <w:rPr>
          <w:b/>
          <w:sz w:val="28"/>
          <w:szCs w:val="28"/>
        </w:rPr>
        <w:t>. This has</w:t>
      </w:r>
      <w:r w:rsidR="003D5B37">
        <w:rPr>
          <w:b/>
          <w:sz w:val="28"/>
          <w:szCs w:val="28"/>
        </w:rPr>
        <w:t xml:space="preserve"> been done in the case of bulk wheat e</w:t>
      </w:r>
      <w:r w:rsidR="00F62D5E">
        <w:rPr>
          <w:b/>
          <w:sz w:val="28"/>
          <w:szCs w:val="28"/>
        </w:rPr>
        <w:t>x</w:t>
      </w:r>
      <w:r w:rsidR="003D5B37">
        <w:rPr>
          <w:b/>
          <w:sz w:val="28"/>
          <w:szCs w:val="28"/>
        </w:rPr>
        <w:t>port terminals around Australia. The TPGO also has the responsibility for monitoring prices, costs and quality of services in various industries including container operator companies at major Australian ports.</w:t>
      </w:r>
    </w:p>
    <w:p w:rsidR="00790732" w:rsidRDefault="003D5B37">
      <w:pPr>
        <w:rPr>
          <w:b/>
          <w:sz w:val="28"/>
          <w:szCs w:val="28"/>
        </w:rPr>
      </w:pPr>
      <w:r>
        <w:rPr>
          <w:b/>
          <w:sz w:val="28"/>
          <w:szCs w:val="28"/>
        </w:rPr>
        <w:t>It is clear that the PLF would come under the oversight of the TPGO.</w:t>
      </w:r>
      <w:r w:rsidR="00F62D5E">
        <w:rPr>
          <w:b/>
          <w:sz w:val="28"/>
          <w:szCs w:val="28"/>
        </w:rPr>
        <w:t xml:space="preserve"> </w:t>
      </w:r>
      <w:r>
        <w:rPr>
          <w:b/>
          <w:sz w:val="28"/>
          <w:szCs w:val="28"/>
        </w:rPr>
        <w:t xml:space="preserve">The Tasmanian shipping community has no other option than to use the </w:t>
      </w:r>
      <w:r w:rsidR="00790732">
        <w:rPr>
          <w:b/>
          <w:sz w:val="28"/>
          <w:szCs w:val="28"/>
        </w:rPr>
        <w:t>P</w:t>
      </w:r>
      <w:r>
        <w:rPr>
          <w:b/>
          <w:sz w:val="28"/>
          <w:szCs w:val="28"/>
        </w:rPr>
        <w:t>ort of Melbourne for both its interstate and international trade.</w:t>
      </w:r>
      <w:r w:rsidR="00F62D5E">
        <w:rPr>
          <w:b/>
          <w:sz w:val="28"/>
          <w:szCs w:val="28"/>
        </w:rPr>
        <w:t xml:space="preserve"> </w:t>
      </w:r>
    </w:p>
    <w:p w:rsidR="003D5B37" w:rsidRDefault="003D5B37">
      <w:pPr>
        <w:rPr>
          <w:b/>
          <w:sz w:val="28"/>
          <w:szCs w:val="28"/>
        </w:rPr>
      </w:pPr>
      <w:r>
        <w:rPr>
          <w:b/>
          <w:sz w:val="28"/>
          <w:szCs w:val="28"/>
        </w:rPr>
        <w:lastRenderedPageBreak/>
        <w:t>The</w:t>
      </w:r>
      <w:r w:rsidR="003B6BBC">
        <w:rPr>
          <w:b/>
          <w:sz w:val="28"/>
          <w:szCs w:val="28"/>
        </w:rPr>
        <w:t xml:space="preserve"> second approach could be</w:t>
      </w:r>
      <w:r>
        <w:rPr>
          <w:b/>
          <w:sz w:val="28"/>
          <w:szCs w:val="28"/>
        </w:rPr>
        <w:t xml:space="preserve"> </w:t>
      </w:r>
      <w:r w:rsidR="004A3A66">
        <w:rPr>
          <w:b/>
          <w:sz w:val="28"/>
          <w:szCs w:val="28"/>
        </w:rPr>
        <w:t xml:space="preserve">the </w:t>
      </w:r>
      <w:r>
        <w:rPr>
          <w:b/>
          <w:sz w:val="28"/>
          <w:szCs w:val="28"/>
        </w:rPr>
        <w:t>issue of the constit</w:t>
      </w:r>
      <w:r w:rsidR="007A62D5">
        <w:rPr>
          <w:b/>
          <w:sz w:val="28"/>
          <w:szCs w:val="28"/>
        </w:rPr>
        <w:t>ut</w:t>
      </w:r>
      <w:r>
        <w:rPr>
          <w:b/>
          <w:sz w:val="28"/>
          <w:szCs w:val="28"/>
        </w:rPr>
        <w:t>ionality of the PLF</w:t>
      </w:r>
      <w:r w:rsidR="003B6BBC">
        <w:rPr>
          <w:b/>
          <w:sz w:val="28"/>
          <w:szCs w:val="28"/>
        </w:rPr>
        <w:t xml:space="preserve"> which</w:t>
      </w:r>
      <w:r>
        <w:rPr>
          <w:b/>
          <w:sz w:val="28"/>
          <w:szCs w:val="28"/>
        </w:rPr>
        <w:t xml:space="preserve"> might fall under the ruling by the High Court in </w:t>
      </w:r>
      <w:r>
        <w:rPr>
          <w:b/>
          <w:i/>
          <w:sz w:val="28"/>
          <w:szCs w:val="28"/>
        </w:rPr>
        <w:t xml:space="preserve">Hughes &amp;Vale Pty Ltd </w:t>
      </w:r>
      <w:r w:rsidRPr="003D5B37">
        <w:rPr>
          <w:b/>
          <w:sz w:val="28"/>
          <w:szCs w:val="28"/>
        </w:rPr>
        <w:t xml:space="preserve">v </w:t>
      </w:r>
      <w:r w:rsidRPr="00B16430">
        <w:rPr>
          <w:b/>
          <w:i/>
          <w:sz w:val="28"/>
          <w:szCs w:val="28"/>
        </w:rPr>
        <w:t>New</w:t>
      </w:r>
      <w:r w:rsidR="007A62D5">
        <w:rPr>
          <w:b/>
          <w:i/>
          <w:sz w:val="28"/>
          <w:szCs w:val="28"/>
        </w:rPr>
        <w:t xml:space="preserve"> </w:t>
      </w:r>
      <w:r w:rsidR="00B16430" w:rsidRPr="00B16430">
        <w:rPr>
          <w:b/>
          <w:i/>
          <w:sz w:val="28"/>
          <w:szCs w:val="28"/>
        </w:rPr>
        <w:t xml:space="preserve">South </w:t>
      </w:r>
      <w:proofErr w:type="gramStart"/>
      <w:r w:rsidR="00B16430" w:rsidRPr="00B16430">
        <w:rPr>
          <w:b/>
          <w:i/>
          <w:sz w:val="28"/>
          <w:szCs w:val="28"/>
        </w:rPr>
        <w:t>Wales(</w:t>
      </w:r>
      <w:proofErr w:type="gramEnd"/>
      <w:r w:rsidR="00B16430" w:rsidRPr="00B16430">
        <w:rPr>
          <w:b/>
          <w:i/>
          <w:sz w:val="28"/>
          <w:szCs w:val="28"/>
        </w:rPr>
        <w:t xml:space="preserve">No2) </w:t>
      </w:r>
      <w:r w:rsidR="00B16430" w:rsidRPr="00B16430">
        <w:rPr>
          <w:b/>
          <w:sz w:val="28"/>
          <w:szCs w:val="28"/>
        </w:rPr>
        <w:t>(1955) 93 CLR</w:t>
      </w:r>
      <w:r w:rsidR="00B16430" w:rsidRPr="00B16430">
        <w:rPr>
          <w:b/>
          <w:i/>
          <w:sz w:val="28"/>
          <w:szCs w:val="28"/>
        </w:rPr>
        <w:t xml:space="preserve"> </w:t>
      </w:r>
      <w:r w:rsidR="00B16430" w:rsidRPr="00B16430">
        <w:rPr>
          <w:b/>
          <w:sz w:val="28"/>
          <w:szCs w:val="28"/>
        </w:rPr>
        <w:t>127.In that case the High Court struck down</w:t>
      </w:r>
      <w:r w:rsidR="00B16430">
        <w:rPr>
          <w:b/>
          <w:sz w:val="28"/>
          <w:szCs w:val="28"/>
        </w:rPr>
        <w:t xml:space="preserve"> the Queensland </w:t>
      </w:r>
      <w:r w:rsidR="00B16430">
        <w:rPr>
          <w:b/>
          <w:i/>
          <w:sz w:val="28"/>
          <w:szCs w:val="28"/>
        </w:rPr>
        <w:t>State Transport Facilities Act</w:t>
      </w:r>
      <w:r w:rsidR="00B16430">
        <w:rPr>
          <w:b/>
          <w:sz w:val="28"/>
          <w:szCs w:val="28"/>
        </w:rPr>
        <w:t xml:space="preserve"> 1946 requiring interstate road traffic to pay more than a reasonable sum for the use of its roads as breaching s92 of the Constitution requiring freedom of interstate trade.</w:t>
      </w:r>
    </w:p>
    <w:p w:rsidR="00790732" w:rsidRDefault="00836F7B">
      <w:pPr>
        <w:rPr>
          <w:b/>
          <w:sz w:val="28"/>
          <w:szCs w:val="28"/>
        </w:rPr>
      </w:pPr>
      <w:r>
        <w:rPr>
          <w:b/>
          <w:sz w:val="28"/>
          <w:szCs w:val="28"/>
        </w:rPr>
        <w:t>This</w:t>
      </w:r>
      <w:r w:rsidR="00790732">
        <w:rPr>
          <w:b/>
          <w:sz w:val="28"/>
          <w:szCs w:val="28"/>
        </w:rPr>
        <w:t xml:space="preserve"> option was not followed up by the former Minister of Infrastructure David O’Byrne presumably on advice from the Department of Justice based on the cost of a High Court appeal.</w:t>
      </w:r>
    </w:p>
    <w:p w:rsidR="00790732" w:rsidRDefault="000B32A6">
      <w:pPr>
        <w:rPr>
          <w:b/>
          <w:sz w:val="28"/>
          <w:szCs w:val="28"/>
        </w:rPr>
      </w:pPr>
      <w:r>
        <w:rPr>
          <w:b/>
          <w:sz w:val="28"/>
          <w:szCs w:val="28"/>
        </w:rPr>
        <w:t>. However, t</w:t>
      </w:r>
      <w:r w:rsidR="00134D41">
        <w:rPr>
          <w:b/>
          <w:sz w:val="28"/>
          <w:szCs w:val="28"/>
        </w:rPr>
        <w:t>he T</w:t>
      </w:r>
      <w:r w:rsidR="00836F7B">
        <w:rPr>
          <w:b/>
          <w:sz w:val="28"/>
          <w:szCs w:val="28"/>
        </w:rPr>
        <w:t>FGA</w:t>
      </w:r>
      <w:r w:rsidR="005B01AC">
        <w:rPr>
          <w:b/>
          <w:sz w:val="28"/>
          <w:szCs w:val="28"/>
        </w:rPr>
        <w:t xml:space="preserve"> and</w:t>
      </w:r>
      <w:r w:rsidR="00134D41">
        <w:rPr>
          <w:b/>
          <w:sz w:val="28"/>
          <w:szCs w:val="28"/>
        </w:rPr>
        <w:t xml:space="preserve"> </w:t>
      </w:r>
      <w:r w:rsidR="00790732">
        <w:rPr>
          <w:b/>
          <w:sz w:val="28"/>
          <w:szCs w:val="28"/>
        </w:rPr>
        <w:t>any producer or operator with a freight interest could raise the issue of the PLF with the TGPO</w:t>
      </w:r>
      <w:r w:rsidR="00134D41">
        <w:rPr>
          <w:b/>
          <w:sz w:val="28"/>
          <w:szCs w:val="28"/>
        </w:rPr>
        <w:t>.</w:t>
      </w:r>
    </w:p>
    <w:p w:rsidR="00273F6E" w:rsidRDefault="00134D41">
      <w:pPr>
        <w:rPr>
          <w:b/>
          <w:sz w:val="28"/>
          <w:szCs w:val="28"/>
        </w:rPr>
      </w:pPr>
      <w:r>
        <w:rPr>
          <w:b/>
          <w:sz w:val="28"/>
          <w:szCs w:val="28"/>
        </w:rPr>
        <w:t>Now that the Federal Government has</w:t>
      </w:r>
      <w:r w:rsidR="00F0377A">
        <w:rPr>
          <w:b/>
          <w:sz w:val="28"/>
          <w:szCs w:val="28"/>
        </w:rPr>
        <w:t xml:space="preserve"> ruled</w:t>
      </w:r>
      <w:r>
        <w:rPr>
          <w:b/>
          <w:sz w:val="28"/>
          <w:szCs w:val="28"/>
        </w:rPr>
        <w:t xml:space="preserve"> out the Committee of Audit’s recommendation to abolish the T</w:t>
      </w:r>
      <w:r w:rsidR="00F0377A">
        <w:rPr>
          <w:b/>
          <w:sz w:val="28"/>
          <w:szCs w:val="28"/>
        </w:rPr>
        <w:t>asmanian Freight Equalisation Scheme (T</w:t>
      </w:r>
      <w:r>
        <w:rPr>
          <w:b/>
          <w:sz w:val="28"/>
          <w:szCs w:val="28"/>
        </w:rPr>
        <w:t>FES</w:t>
      </w:r>
      <w:r w:rsidR="00F0377A">
        <w:rPr>
          <w:b/>
          <w:sz w:val="28"/>
          <w:szCs w:val="28"/>
        </w:rPr>
        <w:t>)</w:t>
      </w:r>
      <w:r>
        <w:rPr>
          <w:b/>
          <w:sz w:val="28"/>
          <w:szCs w:val="28"/>
        </w:rPr>
        <w:t xml:space="preserve"> it needs to needs to </w:t>
      </w:r>
      <w:r w:rsidR="00F0377A">
        <w:rPr>
          <w:b/>
          <w:sz w:val="28"/>
          <w:szCs w:val="28"/>
        </w:rPr>
        <w:t xml:space="preserve">be </w:t>
      </w:r>
      <w:r>
        <w:rPr>
          <w:b/>
          <w:sz w:val="28"/>
          <w:szCs w:val="28"/>
        </w:rPr>
        <w:t>review</w:t>
      </w:r>
      <w:r w:rsidR="004A3A66">
        <w:rPr>
          <w:b/>
          <w:sz w:val="28"/>
          <w:szCs w:val="28"/>
        </w:rPr>
        <w:t>ed</w:t>
      </w:r>
      <w:r>
        <w:rPr>
          <w:b/>
          <w:sz w:val="28"/>
          <w:szCs w:val="28"/>
        </w:rPr>
        <w:t xml:space="preserve"> as</w:t>
      </w:r>
      <w:r w:rsidR="004A3A66">
        <w:rPr>
          <w:b/>
          <w:sz w:val="28"/>
          <w:szCs w:val="28"/>
        </w:rPr>
        <w:t xml:space="preserve"> the</w:t>
      </w:r>
      <w:r>
        <w:rPr>
          <w:b/>
          <w:sz w:val="28"/>
          <w:szCs w:val="28"/>
        </w:rPr>
        <w:t xml:space="preserve"> </w:t>
      </w:r>
      <w:r w:rsidR="007A62D5">
        <w:rPr>
          <w:b/>
          <w:sz w:val="28"/>
          <w:szCs w:val="28"/>
        </w:rPr>
        <w:t>Tasmanian Farmer</w:t>
      </w:r>
      <w:r>
        <w:rPr>
          <w:b/>
          <w:sz w:val="28"/>
          <w:szCs w:val="28"/>
        </w:rPr>
        <w:t>s and Graziers CEO Jan Davis has urged</w:t>
      </w:r>
      <w:r w:rsidR="007A62D5">
        <w:rPr>
          <w:b/>
          <w:sz w:val="28"/>
          <w:szCs w:val="28"/>
        </w:rPr>
        <w:t xml:space="preserve"> (Mercury 24/3/12) </w:t>
      </w:r>
    </w:p>
    <w:p w:rsidR="00446DC3" w:rsidRDefault="00446DC3">
      <w:pPr>
        <w:rPr>
          <w:b/>
          <w:sz w:val="28"/>
          <w:szCs w:val="28"/>
        </w:rPr>
      </w:pPr>
      <w:r>
        <w:rPr>
          <w:b/>
          <w:sz w:val="28"/>
          <w:szCs w:val="28"/>
        </w:rPr>
        <w:t>The Productivity</w:t>
      </w:r>
      <w:r w:rsidR="00357AA7">
        <w:rPr>
          <w:b/>
          <w:sz w:val="28"/>
          <w:szCs w:val="28"/>
        </w:rPr>
        <w:t xml:space="preserve"> Commission on Tasmanian Shipping and Freight</w:t>
      </w:r>
      <w:r>
        <w:rPr>
          <w:b/>
          <w:sz w:val="28"/>
          <w:szCs w:val="28"/>
        </w:rPr>
        <w:t xml:space="preserve"> (2014) in its interim report offered extending the northbound leg of the TFES to cover all eligible goods shipped from Tasmania to the Port of Melbourne.</w:t>
      </w:r>
      <w:r w:rsidR="00FD0F92">
        <w:rPr>
          <w:b/>
          <w:sz w:val="28"/>
          <w:szCs w:val="28"/>
        </w:rPr>
        <w:t xml:space="preserve"> </w:t>
      </w:r>
      <w:r>
        <w:rPr>
          <w:b/>
          <w:sz w:val="28"/>
          <w:szCs w:val="28"/>
        </w:rPr>
        <w:t>An alter</w:t>
      </w:r>
      <w:r w:rsidR="005E6BCC">
        <w:rPr>
          <w:b/>
          <w:sz w:val="28"/>
          <w:szCs w:val="28"/>
        </w:rPr>
        <w:t xml:space="preserve">native to this </w:t>
      </w:r>
      <w:r>
        <w:rPr>
          <w:b/>
          <w:sz w:val="28"/>
          <w:szCs w:val="28"/>
        </w:rPr>
        <w:t>would be referra</w:t>
      </w:r>
      <w:r w:rsidR="003902E6">
        <w:rPr>
          <w:b/>
          <w:sz w:val="28"/>
          <w:szCs w:val="28"/>
        </w:rPr>
        <w:t>l</w:t>
      </w:r>
      <w:r>
        <w:rPr>
          <w:b/>
          <w:sz w:val="28"/>
          <w:szCs w:val="28"/>
        </w:rPr>
        <w:t xml:space="preserve"> of the PLF to the TGPO.</w:t>
      </w:r>
    </w:p>
    <w:p w:rsidR="00FD0F92" w:rsidRDefault="00446DC3">
      <w:pPr>
        <w:rPr>
          <w:b/>
          <w:sz w:val="28"/>
          <w:szCs w:val="28"/>
        </w:rPr>
      </w:pPr>
      <w:r>
        <w:rPr>
          <w:b/>
          <w:sz w:val="28"/>
          <w:szCs w:val="28"/>
        </w:rPr>
        <w:t>The Productivity Commission,</w:t>
      </w:r>
      <w:r w:rsidR="00FD0F92">
        <w:rPr>
          <w:b/>
          <w:sz w:val="28"/>
          <w:szCs w:val="28"/>
        </w:rPr>
        <w:t xml:space="preserve"> </w:t>
      </w:r>
      <w:r>
        <w:rPr>
          <w:b/>
          <w:sz w:val="28"/>
          <w:szCs w:val="28"/>
        </w:rPr>
        <w:t>which received substantial submissions</w:t>
      </w:r>
      <w:r w:rsidR="00FD0F92">
        <w:rPr>
          <w:b/>
          <w:sz w:val="28"/>
          <w:szCs w:val="28"/>
        </w:rPr>
        <w:t xml:space="preserve"> from Tasmanian parties</w:t>
      </w:r>
      <w:r w:rsidR="005E6BCC">
        <w:rPr>
          <w:b/>
          <w:sz w:val="28"/>
          <w:szCs w:val="28"/>
        </w:rPr>
        <w:t>,</w:t>
      </w:r>
      <w:r w:rsidR="00FD0F92">
        <w:rPr>
          <w:b/>
          <w:sz w:val="28"/>
          <w:szCs w:val="28"/>
        </w:rPr>
        <w:t xml:space="preserve"> </w:t>
      </w:r>
      <w:r>
        <w:rPr>
          <w:b/>
          <w:sz w:val="28"/>
          <w:szCs w:val="28"/>
        </w:rPr>
        <w:t xml:space="preserve">stated it was assisted by the </w:t>
      </w:r>
      <w:proofErr w:type="gramStart"/>
      <w:r>
        <w:rPr>
          <w:b/>
          <w:sz w:val="28"/>
          <w:szCs w:val="28"/>
        </w:rPr>
        <w:t>interim  Tasmanian</w:t>
      </w:r>
      <w:proofErr w:type="gramEnd"/>
      <w:r>
        <w:rPr>
          <w:b/>
          <w:sz w:val="28"/>
          <w:szCs w:val="28"/>
        </w:rPr>
        <w:t xml:space="preserve"> Government Freight Coordination Team Report.</w:t>
      </w:r>
      <w:r w:rsidR="00FD0F92">
        <w:rPr>
          <w:b/>
          <w:sz w:val="28"/>
          <w:szCs w:val="28"/>
        </w:rPr>
        <w:t xml:space="preserve"> </w:t>
      </w:r>
      <w:r w:rsidR="003902E6">
        <w:rPr>
          <w:b/>
          <w:sz w:val="28"/>
          <w:szCs w:val="28"/>
        </w:rPr>
        <w:t>This followed a</w:t>
      </w:r>
      <w:r w:rsidR="00FD0F92">
        <w:rPr>
          <w:b/>
          <w:sz w:val="28"/>
          <w:szCs w:val="28"/>
        </w:rPr>
        <w:t xml:space="preserve"> Productivit</w:t>
      </w:r>
      <w:r w:rsidR="003902E6">
        <w:rPr>
          <w:b/>
          <w:sz w:val="28"/>
          <w:szCs w:val="28"/>
        </w:rPr>
        <w:t>y Commission Report (2006)</w:t>
      </w:r>
      <w:r w:rsidR="00FD0F92">
        <w:rPr>
          <w:b/>
          <w:sz w:val="28"/>
          <w:szCs w:val="28"/>
        </w:rPr>
        <w:t xml:space="preserve"> concerns about the potential for market power to affect costs and capture the benefits of the TFES noting that the ACCC at that date considered the barr</w:t>
      </w:r>
      <w:r w:rsidR="004A3A66">
        <w:rPr>
          <w:b/>
          <w:sz w:val="28"/>
          <w:szCs w:val="28"/>
        </w:rPr>
        <w:t>iers of entry into Bass Strait s</w:t>
      </w:r>
      <w:r w:rsidR="00FD0F92">
        <w:rPr>
          <w:b/>
          <w:sz w:val="28"/>
          <w:szCs w:val="28"/>
        </w:rPr>
        <w:t>hipping were high,</w:t>
      </w:r>
      <w:r w:rsidR="003902E6">
        <w:rPr>
          <w:b/>
          <w:sz w:val="28"/>
          <w:szCs w:val="28"/>
        </w:rPr>
        <w:t xml:space="preserve"> </w:t>
      </w:r>
      <w:r w:rsidR="00FD0F92">
        <w:rPr>
          <w:b/>
          <w:sz w:val="28"/>
          <w:szCs w:val="28"/>
        </w:rPr>
        <w:t>one reason being that there was very little opportunity for a new entrant to gain access to berths,</w:t>
      </w:r>
      <w:r w:rsidR="005E6BCC">
        <w:rPr>
          <w:b/>
          <w:sz w:val="28"/>
          <w:szCs w:val="28"/>
        </w:rPr>
        <w:t xml:space="preserve"> </w:t>
      </w:r>
      <w:r w:rsidR="00FD0F92">
        <w:rPr>
          <w:b/>
          <w:sz w:val="28"/>
          <w:szCs w:val="28"/>
        </w:rPr>
        <w:t>or dev</w:t>
      </w:r>
      <w:r w:rsidR="005E6BCC">
        <w:rPr>
          <w:b/>
          <w:sz w:val="28"/>
          <w:szCs w:val="28"/>
        </w:rPr>
        <w:t>elop additional ones with in the</w:t>
      </w:r>
      <w:r w:rsidR="00FD0F92">
        <w:rPr>
          <w:b/>
          <w:sz w:val="28"/>
          <w:szCs w:val="28"/>
        </w:rPr>
        <w:t xml:space="preserve"> Port of Melbourne. </w:t>
      </w:r>
    </w:p>
    <w:p w:rsidR="00446DC3" w:rsidRDefault="003902E6">
      <w:pPr>
        <w:rPr>
          <w:b/>
          <w:sz w:val="28"/>
          <w:szCs w:val="28"/>
        </w:rPr>
      </w:pPr>
      <w:r>
        <w:rPr>
          <w:b/>
          <w:sz w:val="28"/>
          <w:szCs w:val="28"/>
        </w:rPr>
        <w:t xml:space="preserve"> The Freight</w:t>
      </w:r>
      <w:r w:rsidR="00FD0F92">
        <w:rPr>
          <w:b/>
          <w:sz w:val="28"/>
          <w:szCs w:val="28"/>
        </w:rPr>
        <w:t xml:space="preserve"> Co</w:t>
      </w:r>
      <w:r>
        <w:rPr>
          <w:b/>
          <w:sz w:val="28"/>
          <w:szCs w:val="28"/>
        </w:rPr>
        <w:t>o</w:t>
      </w:r>
      <w:r w:rsidR="00FD0F92">
        <w:rPr>
          <w:b/>
          <w:sz w:val="28"/>
          <w:szCs w:val="28"/>
        </w:rPr>
        <w:t xml:space="preserve">rdination Team Report concluded that the Coastal Trading </w:t>
      </w:r>
      <w:r w:rsidR="00275B24">
        <w:rPr>
          <w:b/>
          <w:sz w:val="28"/>
          <w:szCs w:val="28"/>
        </w:rPr>
        <w:t>(Revitalising Australian Shipping</w:t>
      </w:r>
      <w:proofErr w:type="gramStart"/>
      <w:r w:rsidR="00275B24">
        <w:rPr>
          <w:b/>
          <w:sz w:val="28"/>
          <w:szCs w:val="28"/>
        </w:rPr>
        <w:t>)</w:t>
      </w:r>
      <w:r w:rsidR="00FD0F92">
        <w:rPr>
          <w:b/>
          <w:sz w:val="28"/>
          <w:szCs w:val="28"/>
        </w:rPr>
        <w:t>Act</w:t>
      </w:r>
      <w:proofErr w:type="gramEnd"/>
      <w:r w:rsidR="00FD0F92">
        <w:rPr>
          <w:b/>
          <w:sz w:val="28"/>
          <w:szCs w:val="28"/>
        </w:rPr>
        <w:t xml:space="preserve"> 2012(</w:t>
      </w:r>
      <w:proofErr w:type="spellStart"/>
      <w:r w:rsidR="00FD0F92">
        <w:rPr>
          <w:b/>
          <w:sz w:val="28"/>
          <w:szCs w:val="28"/>
        </w:rPr>
        <w:t>Cth</w:t>
      </w:r>
      <w:proofErr w:type="spellEnd"/>
      <w:r w:rsidR="00FD0F92">
        <w:rPr>
          <w:b/>
          <w:sz w:val="28"/>
          <w:szCs w:val="28"/>
        </w:rPr>
        <w:t xml:space="preserve">) </w:t>
      </w:r>
      <w:r>
        <w:rPr>
          <w:b/>
          <w:sz w:val="28"/>
          <w:szCs w:val="28"/>
        </w:rPr>
        <w:t xml:space="preserve">in its </w:t>
      </w:r>
      <w:proofErr w:type="spellStart"/>
      <w:r>
        <w:rPr>
          <w:b/>
          <w:sz w:val="28"/>
          <w:szCs w:val="28"/>
        </w:rPr>
        <w:t>cabotage</w:t>
      </w:r>
      <w:proofErr w:type="spellEnd"/>
      <w:r w:rsidR="005E6BCC">
        <w:rPr>
          <w:b/>
          <w:sz w:val="28"/>
          <w:szCs w:val="28"/>
        </w:rPr>
        <w:t xml:space="preserve"> (coast trade)</w:t>
      </w:r>
      <w:r>
        <w:rPr>
          <w:b/>
          <w:sz w:val="28"/>
          <w:szCs w:val="28"/>
        </w:rPr>
        <w:t xml:space="preserve"> restrictions were likely to have an anti</w:t>
      </w:r>
      <w:r w:rsidR="002912AF">
        <w:rPr>
          <w:b/>
          <w:sz w:val="28"/>
          <w:szCs w:val="28"/>
        </w:rPr>
        <w:t>competitive effect and impact on</w:t>
      </w:r>
      <w:r>
        <w:rPr>
          <w:b/>
          <w:sz w:val="28"/>
          <w:szCs w:val="28"/>
        </w:rPr>
        <w:t xml:space="preserve"> shipping costs for Tasmanian businesses.</w:t>
      </w:r>
      <w:r w:rsidR="005E0E88">
        <w:rPr>
          <w:b/>
          <w:sz w:val="28"/>
          <w:szCs w:val="28"/>
        </w:rPr>
        <w:t xml:space="preserve"> </w:t>
      </w:r>
      <w:r>
        <w:rPr>
          <w:b/>
          <w:sz w:val="28"/>
          <w:szCs w:val="28"/>
        </w:rPr>
        <w:t xml:space="preserve">The Federal Minister Warren Truss has already signalled changing the Act to streamline the system for applying </w:t>
      </w:r>
      <w:r>
        <w:rPr>
          <w:b/>
          <w:sz w:val="28"/>
          <w:szCs w:val="28"/>
        </w:rPr>
        <w:lastRenderedPageBreak/>
        <w:t>for temporary licences to use foreign ships on Australian coastal voyages</w:t>
      </w:r>
      <w:r w:rsidR="00275B24">
        <w:rPr>
          <w:b/>
          <w:sz w:val="28"/>
          <w:szCs w:val="28"/>
        </w:rPr>
        <w:t>. He voiced concern in the blow out in domestic shipping costs noting it was cheaper to ship cement from China than move it between domestic ports.</w:t>
      </w:r>
    </w:p>
    <w:p w:rsidR="00275B24" w:rsidRDefault="003902E6">
      <w:pPr>
        <w:rPr>
          <w:b/>
          <w:sz w:val="28"/>
          <w:szCs w:val="28"/>
        </w:rPr>
      </w:pPr>
      <w:r>
        <w:rPr>
          <w:b/>
          <w:sz w:val="28"/>
          <w:szCs w:val="28"/>
        </w:rPr>
        <w:t>Both the Productivity Commission and the Freight Coordination Team hand down their reports in June.</w:t>
      </w:r>
    </w:p>
    <w:p w:rsidR="00531BA7" w:rsidRDefault="00531BA7">
      <w:pPr>
        <w:rPr>
          <w:b/>
          <w:sz w:val="28"/>
          <w:szCs w:val="28"/>
        </w:rPr>
      </w:pPr>
      <w:commentRangeStart w:id="0"/>
      <w:r>
        <w:rPr>
          <w:b/>
          <w:sz w:val="28"/>
          <w:szCs w:val="28"/>
        </w:rPr>
        <w:t>As</w:t>
      </w:r>
      <w:commentRangeEnd w:id="0"/>
      <w:r w:rsidR="000B32A6">
        <w:rPr>
          <w:rStyle w:val="CommentReference"/>
        </w:rPr>
        <w:commentReference w:id="0"/>
      </w:r>
      <w:r>
        <w:rPr>
          <w:b/>
          <w:sz w:val="28"/>
          <w:szCs w:val="28"/>
        </w:rPr>
        <w:t xml:space="preserve"> John Howard said in 1996</w:t>
      </w:r>
      <w:r w:rsidR="00E12902">
        <w:rPr>
          <w:b/>
          <w:sz w:val="28"/>
          <w:szCs w:val="28"/>
        </w:rPr>
        <w:t>” The transport disadvantage posed by Bass Strait is the single most serious impediment to jobs, investment and population in Tasmania”.</w:t>
      </w:r>
    </w:p>
    <w:p w:rsidR="00E12902" w:rsidRDefault="00E12902">
      <w:pPr>
        <w:rPr>
          <w:b/>
          <w:sz w:val="28"/>
          <w:szCs w:val="28"/>
        </w:rPr>
      </w:pPr>
    </w:p>
    <w:p w:rsidR="00E12902" w:rsidRDefault="00E12902">
      <w:pPr>
        <w:rPr>
          <w:b/>
          <w:sz w:val="28"/>
          <w:szCs w:val="28"/>
        </w:rPr>
      </w:pPr>
      <w:r>
        <w:rPr>
          <w:b/>
          <w:sz w:val="28"/>
          <w:szCs w:val="28"/>
        </w:rPr>
        <w:t>John Livermore</w:t>
      </w:r>
    </w:p>
    <w:p w:rsidR="00275B24" w:rsidRPr="008A4A15" w:rsidRDefault="00275B24" w:rsidP="00275B24">
      <w:pPr>
        <w:rPr>
          <w:b/>
          <w:sz w:val="28"/>
          <w:szCs w:val="28"/>
        </w:rPr>
      </w:pPr>
      <w:proofErr w:type="gramStart"/>
      <w:r w:rsidRPr="00E12902">
        <w:rPr>
          <w:b/>
          <w:i/>
          <w:sz w:val="28"/>
          <w:szCs w:val="28"/>
        </w:rPr>
        <w:t xml:space="preserve">Disclaimer </w:t>
      </w:r>
      <w:r>
        <w:rPr>
          <w:b/>
          <w:sz w:val="28"/>
          <w:szCs w:val="28"/>
        </w:rPr>
        <w:t xml:space="preserve"> None</w:t>
      </w:r>
      <w:proofErr w:type="gramEnd"/>
      <w:r>
        <w:rPr>
          <w:b/>
          <w:sz w:val="28"/>
          <w:szCs w:val="28"/>
        </w:rPr>
        <w:t xml:space="preserve"> of the opinions expressed in this article are necessarily those of the publishers of Laws of Australia, Thomson Reuters or the Tasmanian Logistics Committee.</w:t>
      </w:r>
    </w:p>
    <w:p w:rsidR="00275B24" w:rsidRDefault="00275B24">
      <w:pPr>
        <w:rPr>
          <w:b/>
          <w:sz w:val="28"/>
          <w:szCs w:val="28"/>
        </w:rPr>
      </w:pPr>
    </w:p>
    <w:p w:rsidR="00275B24" w:rsidRDefault="00275B24">
      <w:pPr>
        <w:rPr>
          <w:b/>
          <w:sz w:val="28"/>
          <w:szCs w:val="28"/>
        </w:rPr>
      </w:pPr>
      <w:r>
        <w:rPr>
          <w:b/>
          <w:sz w:val="28"/>
          <w:szCs w:val="28"/>
        </w:rPr>
        <w:t>John Livermore is Editor of Transport,</w:t>
      </w:r>
      <w:r w:rsidR="005E6BCC">
        <w:rPr>
          <w:b/>
          <w:sz w:val="28"/>
          <w:szCs w:val="28"/>
        </w:rPr>
        <w:t xml:space="preserve"> Laws of Australia,</w:t>
      </w:r>
      <w:r>
        <w:rPr>
          <w:b/>
          <w:sz w:val="28"/>
          <w:szCs w:val="28"/>
        </w:rPr>
        <w:t xml:space="preserve"> a member of the Tasmanian Logistics Committee, a Fellow of the Chartered Institute of </w:t>
      </w:r>
      <w:r w:rsidR="005E6BCC">
        <w:rPr>
          <w:b/>
          <w:sz w:val="28"/>
          <w:szCs w:val="28"/>
        </w:rPr>
        <w:t>Transport and Logistics</w:t>
      </w:r>
      <w:r>
        <w:rPr>
          <w:b/>
          <w:sz w:val="28"/>
          <w:szCs w:val="28"/>
        </w:rPr>
        <w:t xml:space="preserve"> and</w:t>
      </w:r>
      <w:r w:rsidRPr="00275B24">
        <w:rPr>
          <w:b/>
          <w:sz w:val="28"/>
          <w:szCs w:val="28"/>
        </w:rPr>
        <w:t xml:space="preserve"> </w:t>
      </w:r>
      <w:r>
        <w:rPr>
          <w:b/>
          <w:sz w:val="28"/>
          <w:szCs w:val="28"/>
        </w:rPr>
        <w:t>a former Senior Lecturer in Commercial Law, University of Tasmania</w:t>
      </w:r>
    </w:p>
    <w:p w:rsidR="003B6BBC" w:rsidRDefault="003B6BBC">
      <w:pPr>
        <w:rPr>
          <w:b/>
          <w:sz w:val="28"/>
          <w:szCs w:val="28"/>
        </w:rPr>
      </w:pPr>
      <w:r>
        <w:rPr>
          <w:b/>
          <w:sz w:val="28"/>
          <w:szCs w:val="28"/>
        </w:rPr>
        <w:t>www.johnlivermore.com.au</w:t>
      </w:r>
    </w:p>
    <w:sectPr w:rsidR="003B6BBC" w:rsidSect="00C3232C">
      <w:pgSz w:w="11906" w:h="16838"/>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john" w:date="2014-05-07T11:32:00Z" w:initials="j">
    <w:p w:rsidR="000B32A6" w:rsidRDefault="000B32A6">
      <w:pPr>
        <w:pStyle w:val="CommentText"/>
      </w:pPr>
      <w:r>
        <w:rPr>
          <w:rStyle w:val="CommentReference"/>
        </w:rPr>
        <w:annotationRef/>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54F" w:rsidRDefault="00C4054F" w:rsidP="007A62D5">
      <w:pPr>
        <w:spacing w:after="0" w:line="240" w:lineRule="auto"/>
      </w:pPr>
      <w:r>
        <w:separator/>
      </w:r>
    </w:p>
  </w:endnote>
  <w:endnote w:type="continuationSeparator" w:id="0">
    <w:p w:rsidR="00C4054F" w:rsidRDefault="00C4054F" w:rsidP="007A62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54F" w:rsidRDefault="00C4054F" w:rsidP="007A62D5">
      <w:pPr>
        <w:spacing w:after="0" w:line="240" w:lineRule="auto"/>
      </w:pPr>
      <w:r>
        <w:separator/>
      </w:r>
    </w:p>
  </w:footnote>
  <w:footnote w:type="continuationSeparator" w:id="0">
    <w:p w:rsidR="00C4054F" w:rsidRDefault="00C4054F" w:rsidP="007A62D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71682"/>
  </w:hdrShapeDefaults>
  <w:footnotePr>
    <w:footnote w:id="-1"/>
    <w:footnote w:id="0"/>
  </w:footnotePr>
  <w:endnotePr>
    <w:endnote w:id="-1"/>
    <w:endnote w:id="0"/>
  </w:endnotePr>
  <w:compat>
    <w:useFELayout/>
  </w:compat>
  <w:rsids>
    <w:rsidRoot w:val="00C653D2"/>
    <w:rsid w:val="00005C1C"/>
    <w:rsid w:val="00044CC6"/>
    <w:rsid w:val="000B228D"/>
    <w:rsid w:val="000B32A6"/>
    <w:rsid w:val="000C2EB5"/>
    <w:rsid w:val="000C37DC"/>
    <w:rsid w:val="000F2018"/>
    <w:rsid w:val="00110569"/>
    <w:rsid w:val="00134D41"/>
    <w:rsid w:val="00140ADF"/>
    <w:rsid w:val="001435B5"/>
    <w:rsid w:val="00154BF8"/>
    <w:rsid w:val="00194BF9"/>
    <w:rsid w:val="001C6169"/>
    <w:rsid w:val="0023689F"/>
    <w:rsid w:val="00273F6E"/>
    <w:rsid w:val="00275B24"/>
    <w:rsid w:val="002912AF"/>
    <w:rsid w:val="002936BB"/>
    <w:rsid w:val="002A0881"/>
    <w:rsid w:val="002A4567"/>
    <w:rsid w:val="002D047A"/>
    <w:rsid w:val="002D48A4"/>
    <w:rsid w:val="002F700E"/>
    <w:rsid w:val="003206BF"/>
    <w:rsid w:val="003226C1"/>
    <w:rsid w:val="00357AA7"/>
    <w:rsid w:val="00384C28"/>
    <w:rsid w:val="003902E6"/>
    <w:rsid w:val="003B6BBC"/>
    <w:rsid w:val="003D2283"/>
    <w:rsid w:val="003D5B37"/>
    <w:rsid w:val="00421698"/>
    <w:rsid w:val="00446DC3"/>
    <w:rsid w:val="00487753"/>
    <w:rsid w:val="004A3A66"/>
    <w:rsid w:val="004C240E"/>
    <w:rsid w:val="004D6BD3"/>
    <w:rsid w:val="004F5C05"/>
    <w:rsid w:val="00521F09"/>
    <w:rsid w:val="00531BA7"/>
    <w:rsid w:val="005353EB"/>
    <w:rsid w:val="005A1095"/>
    <w:rsid w:val="005B01AC"/>
    <w:rsid w:val="005E0E88"/>
    <w:rsid w:val="005E6BCC"/>
    <w:rsid w:val="00611CB9"/>
    <w:rsid w:val="00645A95"/>
    <w:rsid w:val="0067370C"/>
    <w:rsid w:val="00772878"/>
    <w:rsid w:val="00790732"/>
    <w:rsid w:val="007A2C31"/>
    <w:rsid w:val="007A62D5"/>
    <w:rsid w:val="007C6C67"/>
    <w:rsid w:val="007C7C69"/>
    <w:rsid w:val="007D2A38"/>
    <w:rsid w:val="007E303F"/>
    <w:rsid w:val="00836F7B"/>
    <w:rsid w:val="00870E6D"/>
    <w:rsid w:val="00896C9B"/>
    <w:rsid w:val="008A17AD"/>
    <w:rsid w:val="008A4A15"/>
    <w:rsid w:val="009273FC"/>
    <w:rsid w:val="00940EAD"/>
    <w:rsid w:val="00984D84"/>
    <w:rsid w:val="009E5D78"/>
    <w:rsid w:val="009F2657"/>
    <w:rsid w:val="00A003EC"/>
    <w:rsid w:val="00A348E5"/>
    <w:rsid w:val="00A3616D"/>
    <w:rsid w:val="00AA0873"/>
    <w:rsid w:val="00B16430"/>
    <w:rsid w:val="00B46EBB"/>
    <w:rsid w:val="00BA7662"/>
    <w:rsid w:val="00BB2A15"/>
    <w:rsid w:val="00BF1533"/>
    <w:rsid w:val="00C030EA"/>
    <w:rsid w:val="00C04FB1"/>
    <w:rsid w:val="00C3232C"/>
    <w:rsid w:val="00C356AA"/>
    <w:rsid w:val="00C4054F"/>
    <w:rsid w:val="00C43708"/>
    <w:rsid w:val="00C653D2"/>
    <w:rsid w:val="00C6767C"/>
    <w:rsid w:val="00C945AC"/>
    <w:rsid w:val="00CB57B8"/>
    <w:rsid w:val="00CB6F25"/>
    <w:rsid w:val="00CE2B18"/>
    <w:rsid w:val="00CE3293"/>
    <w:rsid w:val="00D1661F"/>
    <w:rsid w:val="00D2700C"/>
    <w:rsid w:val="00D54543"/>
    <w:rsid w:val="00DB0D5F"/>
    <w:rsid w:val="00DB67A3"/>
    <w:rsid w:val="00DC00FC"/>
    <w:rsid w:val="00E12902"/>
    <w:rsid w:val="00E701D4"/>
    <w:rsid w:val="00E81EAA"/>
    <w:rsid w:val="00EC3FB0"/>
    <w:rsid w:val="00F0377A"/>
    <w:rsid w:val="00F3174A"/>
    <w:rsid w:val="00F432D8"/>
    <w:rsid w:val="00F62D5E"/>
    <w:rsid w:val="00F7221D"/>
    <w:rsid w:val="00FD0F92"/>
    <w:rsid w:val="00FD2FB0"/>
    <w:rsid w:val="00FD5912"/>
    <w:rsid w:val="00FE2393"/>
  </w:rsids>
  <m:mathPr>
    <m:mathFont m:val="Cambria Math"/>
    <m:brkBin m:val="before"/>
    <m:brkBinSub m:val="--"/>
    <m:smallFrac m:val="off"/>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62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A62D5"/>
  </w:style>
  <w:style w:type="paragraph" w:styleId="Footer">
    <w:name w:val="footer"/>
    <w:basedOn w:val="Normal"/>
    <w:link w:val="FooterChar"/>
    <w:uiPriority w:val="99"/>
    <w:semiHidden/>
    <w:unhideWhenUsed/>
    <w:rsid w:val="007A62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A62D5"/>
  </w:style>
  <w:style w:type="character" w:styleId="Hyperlink">
    <w:name w:val="Hyperlink"/>
    <w:basedOn w:val="DefaultParagraphFont"/>
    <w:uiPriority w:val="99"/>
    <w:unhideWhenUsed/>
    <w:rsid w:val="00E12902"/>
    <w:rPr>
      <w:color w:val="0000FF" w:themeColor="hyperlink"/>
      <w:u w:val="single"/>
    </w:rPr>
  </w:style>
  <w:style w:type="paragraph" w:styleId="Date">
    <w:name w:val="Date"/>
    <w:basedOn w:val="Normal"/>
    <w:next w:val="Normal"/>
    <w:link w:val="DateChar"/>
    <w:uiPriority w:val="99"/>
    <w:semiHidden/>
    <w:unhideWhenUsed/>
    <w:rsid w:val="003B6BBC"/>
  </w:style>
  <w:style w:type="character" w:customStyle="1" w:styleId="DateChar">
    <w:name w:val="Date Char"/>
    <w:basedOn w:val="DefaultParagraphFont"/>
    <w:link w:val="Date"/>
    <w:uiPriority w:val="99"/>
    <w:semiHidden/>
    <w:rsid w:val="003B6BBC"/>
  </w:style>
  <w:style w:type="character" w:styleId="CommentReference">
    <w:name w:val="annotation reference"/>
    <w:basedOn w:val="DefaultParagraphFont"/>
    <w:uiPriority w:val="99"/>
    <w:semiHidden/>
    <w:unhideWhenUsed/>
    <w:rsid w:val="000B32A6"/>
    <w:rPr>
      <w:sz w:val="16"/>
      <w:szCs w:val="16"/>
    </w:rPr>
  </w:style>
  <w:style w:type="paragraph" w:styleId="CommentText">
    <w:name w:val="annotation text"/>
    <w:basedOn w:val="Normal"/>
    <w:link w:val="CommentTextChar"/>
    <w:uiPriority w:val="99"/>
    <w:semiHidden/>
    <w:unhideWhenUsed/>
    <w:rsid w:val="000B32A6"/>
    <w:pPr>
      <w:spacing w:line="240" w:lineRule="auto"/>
    </w:pPr>
    <w:rPr>
      <w:sz w:val="20"/>
      <w:szCs w:val="20"/>
    </w:rPr>
  </w:style>
  <w:style w:type="character" w:customStyle="1" w:styleId="CommentTextChar">
    <w:name w:val="Comment Text Char"/>
    <w:basedOn w:val="DefaultParagraphFont"/>
    <w:link w:val="CommentText"/>
    <w:uiPriority w:val="99"/>
    <w:semiHidden/>
    <w:rsid w:val="000B32A6"/>
    <w:rPr>
      <w:sz w:val="20"/>
      <w:szCs w:val="20"/>
    </w:rPr>
  </w:style>
  <w:style w:type="paragraph" w:styleId="CommentSubject">
    <w:name w:val="annotation subject"/>
    <w:basedOn w:val="CommentText"/>
    <w:next w:val="CommentText"/>
    <w:link w:val="CommentSubjectChar"/>
    <w:uiPriority w:val="99"/>
    <w:semiHidden/>
    <w:unhideWhenUsed/>
    <w:rsid w:val="000B32A6"/>
    <w:rPr>
      <w:b/>
      <w:bCs/>
    </w:rPr>
  </w:style>
  <w:style w:type="character" w:customStyle="1" w:styleId="CommentSubjectChar">
    <w:name w:val="Comment Subject Char"/>
    <w:basedOn w:val="CommentTextChar"/>
    <w:link w:val="CommentSubject"/>
    <w:uiPriority w:val="99"/>
    <w:semiHidden/>
    <w:rsid w:val="000B32A6"/>
    <w:rPr>
      <w:b/>
      <w:bCs/>
    </w:rPr>
  </w:style>
  <w:style w:type="paragraph" w:styleId="BalloonText">
    <w:name w:val="Balloon Text"/>
    <w:basedOn w:val="Normal"/>
    <w:link w:val="BalloonTextChar"/>
    <w:uiPriority w:val="99"/>
    <w:semiHidden/>
    <w:unhideWhenUsed/>
    <w:rsid w:val="000B3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2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132D3B-4329-4EEF-B372-79F9FA41D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cp:lastPrinted>2014-05-08T02:13:00Z</cp:lastPrinted>
  <dcterms:created xsi:type="dcterms:W3CDTF">2014-06-13T12:03:00Z</dcterms:created>
  <dcterms:modified xsi:type="dcterms:W3CDTF">2014-06-13T12:03:00Z</dcterms:modified>
</cp:coreProperties>
</file>